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bookmarkStart w:id="0" w:name="BiaoTiΩ1"/>
      <w:bookmarkStart w:id="1" w:name="ZhuSongJiGuanΩ1"/>
      <w:r>
        <w:rPr>
          <w:rFonts w:ascii="仿宋_GB2312" w:eastAsia="仿宋_GB2312"/>
          <w:sz w:val="32"/>
          <w:szCs w:val="32"/>
        </w:rPr>
        <w:pict>
          <v:shape id="_x0000_s1033" o:spid="_x0000_s1033" o:spt="136" type="#_x0000_t136" style="position:absolute;left:0pt;margin-left:0.05pt;margin-top:34.65pt;height:84.75pt;width:436.65pt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楷体" w:cs="仿宋_GB2312"/>
          <w:szCs w:val="32"/>
        </w:rPr>
      </w:pPr>
      <w:r>
        <w:rPr>
          <w:rFonts w:hint="eastAsia" w:ascii="仿宋_GB2312" w:hAnsi="楷体" w:cs="仿宋_GB2312"/>
          <w:szCs w:val="32"/>
        </w:rPr>
        <w:t>滕政办发〔</w:t>
      </w:r>
      <w:r>
        <w:rPr>
          <w:rFonts w:ascii="仿宋_GB2312" w:hAnsi="楷体" w:cs="仿宋_GB2312"/>
          <w:szCs w:val="32"/>
        </w:rPr>
        <w:t>201</w:t>
      </w:r>
      <w:r>
        <w:rPr>
          <w:rFonts w:hint="eastAsia" w:ascii="仿宋_GB2312" w:hAnsi="楷体" w:cs="仿宋_GB2312"/>
          <w:szCs w:val="32"/>
        </w:rPr>
        <w:t>8〕59号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305435</wp:posOffset>
                </wp:positionV>
                <wp:extent cx="5143500" cy="635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3.55pt;margin-top:24.05pt;height:0.05pt;width:405pt;z-index:251662336;mso-width-relative:page;mso-height-relative:page;" filled="f" stroked="t" coordsize="21600,21600" o:gfxdata="UEsFBgAAAAAAAAAAAAAAAAAAAAAAAFBLAwQKAAAAAACHTuJAAAAAAAAAAAAAAAAABAAAAGRycy9Q&#10;SwMEFAAAAAgAh07iQG82mSHWAAAACAEAAA8AAABkcnMvZG93bnJldi54bWxNj81OwzAQhO9IvIO1&#10;SNyok4AgSuNUgOCGhAg/vbrxNo4ar6PYTdO3Z3OC02pnRrPflpvZ9WLCMXSeFKSrBARS401HrYKv&#10;z9ebHESImozuPaGCMwbYVJcXpS6MP9EHTnVsBZdQKLQCG+NQSBkai06HlR+Q2Nv70enI69hKM+oT&#10;l7teZklyL53uiC9YPeCzxeZQH52C+Sd/tNu3+PTiv9/tYd7WbsrOSl1fpckaRMQ5/oVhwWd0qJhp&#10;549kgugVZA8pJxXc5TzZz28XYbcIGciqlP8fqH4BUEsDBBQAAAAIAIdO4kCORdUs0gEAAJQDAAAO&#10;AAAAZHJzL2Uyb0RvYy54bWytU82O0zAQviPxDpbvNGmXLKuo6R4o5YJgpYUHmNpOYsl/8rhN+yy8&#10;BicuPM6+BmO3tPxcECIHZ+wZf5nvmy/L+4M1bK8iau86Pp/VnCknvNRu6Pinj5sXd5xhAifBeKc6&#10;flTI71fPny2n0KqFH72RKjICcdhOoeNjSqGtKhSjsoAzH5SjZO+jhUTbOFQywkTo1lSLur6tJh9l&#10;iF4oRDpdn5J8VfD7Xon0oe9RJWY6Tr2lssaybvNarZbQDhHCqMW5DfiHLixoRx+9QK0hAdtF/QeU&#10;1SJ69H2aCW8r3/daqMKB2Mzr39g8jhBU4ULiYLjIhP8PVrzfP0SmJc2OMweWRvT0+cvT129sXsSZ&#10;ArZU8xgeIkmVd0hhZnroo81v4sAORdDjRVB1SEzQYTN/edPUpLug3O1Nk+WurldDxPRWecty0HGj&#10;XWYLLezfYTqV/ijJx8axqeOLu+ZVQ4hAbukNJAptoP7RDeUyeqPlRhuTr2Actq9NZHug+W82NT3n&#10;Hn4py19ZA46nupI6OWNUIN84ydIxkDKOLMxzD1ZJzowix+eoeCiBNn9TSfSNIxWuUuZo6+WR5rAL&#10;UQ8jSZHiTpVGc5JGX2Q72zR76+d9Abv+TK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bzaZIdYA&#10;AAAIAQAADwAAAAAAAAABACAAAAA4AAAAZHJzL2Rvd25yZXYueG1sUEsBAhQAFAAAAAgAh07iQI5F&#10;1SzSAQAAlAMAAA4AAAAAAAAAAQAgAAAAOw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滕州市人民政府办公室</w:t>
      </w:r>
    </w:p>
    <w:p>
      <w:pPr>
        <w:spacing w:line="600" w:lineRule="exact"/>
        <w:jc w:val="center"/>
        <w:rPr>
          <w:rFonts w:hint="eastAsia" w:ascii="方正小标宋简体" w:hAnsi="Calibri" w:eastAsia="方正小标宋简体"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sz w:val="44"/>
          <w:szCs w:val="44"/>
        </w:rPr>
        <w:t>关于印发《“食安滕州”品牌建设三年行动</w:t>
      </w:r>
    </w:p>
    <w:p>
      <w:pPr>
        <w:spacing w:line="600" w:lineRule="exact"/>
        <w:jc w:val="center"/>
        <w:rPr>
          <w:rFonts w:hint="eastAsia" w:ascii="方正小标宋简体" w:hAnsi="Calibri" w:eastAsia="方正小标宋简体"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sz w:val="44"/>
          <w:szCs w:val="44"/>
        </w:rPr>
        <w:t>计划》的通知</w:t>
      </w:r>
    </w:p>
    <w:p>
      <w:pPr>
        <w:spacing w:line="600" w:lineRule="exact"/>
        <w:rPr>
          <w:rFonts w:hint="eastAsia" w:ascii="仿宋" w:hAnsi="仿宋" w:eastAsia="仿宋"/>
          <w:sz w:val="36"/>
          <w:szCs w:val="36"/>
        </w:rPr>
      </w:pPr>
    </w:p>
    <w:p>
      <w:pPr>
        <w:spacing w:line="600" w:lineRule="exact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各镇人民政府、街道办事处，滕州经济开发区管委会，市政府有关部门，各企事业单位：</w:t>
      </w:r>
    </w:p>
    <w:bookmarkEnd w:id="0"/>
    <w:bookmarkEnd w:id="1"/>
    <w:p>
      <w:pPr>
        <w:shd w:val="clear" w:color="auto" w:fill="FFFFFF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《</w:t>
      </w:r>
      <w:r>
        <w:rPr>
          <w:rFonts w:hint="eastAsia" w:ascii="仿宋_GB2312" w:hAnsi="仿宋"/>
          <w:bCs/>
          <w:szCs w:val="32"/>
        </w:rPr>
        <w:t>“食安滕州”品牌建设三年行动计划</w:t>
      </w:r>
      <w:r>
        <w:rPr>
          <w:rFonts w:hint="eastAsia" w:ascii="仿宋_GB2312" w:hAnsi="仿宋"/>
          <w:szCs w:val="32"/>
        </w:rPr>
        <w:t>》已经市政府同意，现印发给你们，请认真贯彻执行。</w:t>
      </w:r>
    </w:p>
    <w:p>
      <w:pPr>
        <w:shd w:val="clear" w:color="auto" w:fill="FFFFFF"/>
        <w:snapToGrid w:val="0"/>
        <w:spacing w:line="600" w:lineRule="exact"/>
        <w:rPr>
          <w:rFonts w:hint="eastAsia" w:ascii="仿宋_GB2312" w:hAnsi="仿宋" w:cs="宋体"/>
          <w:kern w:val="0"/>
          <w:sz w:val="52"/>
          <w:szCs w:val="32"/>
        </w:rPr>
      </w:pPr>
    </w:p>
    <w:p>
      <w:pPr>
        <w:shd w:val="clear" w:color="auto" w:fill="FFFFFF"/>
        <w:snapToGrid w:val="0"/>
        <w:spacing w:line="600" w:lineRule="exact"/>
        <w:rPr>
          <w:rFonts w:hint="eastAsia" w:ascii="仿宋_GB2312" w:hAnsi="仿宋" w:cs="宋体"/>
          <w:kern w:val="0"/>
          <w:sz w:val="52"/>
          <w:szCs w:val="32"/>
        </w:rPr>
      </w:pPr>
    </w:p>
    <w:p>
      <w:pPr>
        <w:widowControl/>
        <w:shd w:val="clear" w:color="auto" w:fill="FFFFFF"/>
        <w:snapToGrid w:val="0"/>
        <w:spacing w:line="520" w:lineRule="atLeast"/>
        <w:rPr>
          <w:rFonts w:ascii="仿宋_GB2312" w:hAnsi="仿宋" w:cs="宋体"/>
          <w:kern w:val="0"/>
        </w:rPr>
      </w:pPr>
      <w:r>
        <w:rPr>
          <w:rFonts w:hint="eastAsia" w:ascii="仿宋_GB2312" w:hAnsi="仿宋" w:cs="宋体"/>
          <w:kern w:val="0"/>
        </w:rPr>
        <w:t xml:space="preserve">                            滕州市人民政府办公室</w:t>
      </w:r>
    </w:p>
    <w:p>
      <w:pPr>
        <w:widowControl/>
        <w:shd w:val="clear" w:color="auto" w:fill="FFFFFF"/>
        <w:snapToGrid w:val="0"/>
        <w:spacing w:line="520" w:lineRule="atLeast"/>
        <w:ind w:right="1120" w:firstLine="4800" w:firstLineChars="1500"/>
        <w:jc w:val="right"/>
        <w:rPr>
          <w:rFonts w:ascii="仿宋_GB2312" w:hAnsi="仿宋" w:cs="宋体"/>
          <w:kern w:val="0"/>
        </w:rPr>
      </w:pPr>
      <w:r>
        <w:rPr>
          <w:rFonts w:hint="eastAsia" w:ascii="仿宋_GB2312" w:hAnsi="仿宋" w:cs="宋体"/>
          <w:kern w:val="0"/>
        </w:rPr>
        <w:t xml:space="preserve"> 2018年6月13日</w:t>
      </w:r>
    </w:p>
    <w:p>
      <w:pPr>
        <w:widowControl/>
        <w:shd w:val="clear" w:color="auto" w:fill="FFFFFF"/>
        <w:snapToGrid w:val="0"/>
        <w:spacing w:line="520" w:lineRule="atLeast"/>
        <w:ind w:right="1280"/>
        <w:rPr>
          <w:rFonts w:ascii="仿宋_GB2312" w:hAnsi="仿宋" w:cs="宋体"/>
          <w:kern w:val="0"/>
        </w:rPr>
      </w:pPr>
    </w:p>
    <w:p>
      <w:pPr>
        <w:shd w:val="clear" w:color="auto" w:fill="FFFFFF"/>
        <w:snapToGrid w:val="0"/>
        <w:spacing w:line="600" w:lineRule="exact"/>
        <w:jc w:val="left"/>
        <w:rPr>
          <w:rFonts w:hint="eastAsia" w:ascii="仿宋" w:hAnsi="仿宋" w:eastAsia="仿宋" w:cs="宋体"/>
          <w:kern w:val="0"/>
          <w:szCs w:val="22"/>
        </w:rPr>
      </w:pPr>
    </w:p>
    <w:p>
      <w:pPr>
        <w:shd w:val="clear" w:color="auto" w:fill="FFFFFF"/>
        <w:snapToGrid w:val="0"/>
        <w:spacing w:line="600" w:lineRule="exact"/>
        <w:jc w:val="left"/>
        <w:rPr>
          <w:rFonts w:hint="eastAsia" w:ascii="仿宋" w:hAnsi="仿宋" w:eastAsia="仿宋" w:cs="宋体"/>
          <w:kern w:val="0"/>
          <w:szCs w:val="22"/>
        </w:rPr>
      </w:pPr>
    </w:p>
    <w:p>
      <w:pPr>
        <w:autoSpaceDN w:val="0"/>
        <w:spacing w:line="600" w:lineRule="exact"/>
        <w:rPr>
          <w:rFonts w:hint="eastAsia" w:ascii="仿宋" w:hAnsi="仿宋" w:eastAsia="仿宋" w:cs="宋体"/>
          <w:color w:val="000000"/>
          <w:spacing w:val="-4"/>
          <w:sz w:val="44"/>
          <w:szCs w:val="44"/>
        </w:rPr>
      </w:pPr>
    </w:p>
    <w:p>
      <w:pPr>
        <w:autoSpaceDN w:val="0"/>
        <w:spacing w:line="600" w:lineRule="exact"/>
        <w:jc w:val="center"/>
        <w:rPr>
          <w:rFonts w:hint="eastAsia" w:ascii="方正小标宋简体" w:hAnsi="仿宋" w:eastAsia="方正小标宋简体" w:cs="宋体"/>
          <w:color w:val="000000"/>
          <w:spacing w:val="-4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pacing w:val="-4"/>
          <w:sz w:val="44"/>
          <w:szCs w:val="44"/>
        </w:rPr>
        <w:t>“食安滕州”品牌建设三年行动计划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为加快推进“食安滕州”品牌建设，提升我市食品产业品牌形象，根据《山东省人民政府办公厅关于“食安山东”品牌建设的实施意见》（鲁政办发〔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7〕35号）、《枣庄市人民政府办公室关于“食安枣庄”品牌建设的实施意见》（枣政办发〔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7〕14号）精神，结合我市实际，现提出以下意见。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（一）指导思想。</w:t>
      </w:r>
      <w:r>
        <w:rPr>
          <w:rFonts w:hint="eastAsia" w:ascii="仿宋_GB2312" w:hAnsi="仿宋" w:eastAsia="仿宋_GB2312"/>
          <w:sz w:val="32"/>
          <w:szCs w:val="32"/>
        </w:rPr>
        <w:t>严格落实习近平总书记“四个最严”要求,大力实施品牌强市战略和食品安全战略，以“食安滕州”品牌建设为统领，以“安全、健康、口碑”为核心，聚焦重点产品、重点行业、重要业态和关键环节，通过持续培育、整体创建、巩固提升，实现品牌数量持续增加、品牌经济贡献率显著提高、公众消费信心明显增强，努力打造滕州食品安全整体形象，促进全市食品产业转型升级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（二）推进原则。</w:t>
      </w:r>
      <w:r>
        <w:rPr>
          <w:rFonts w:hint="eastAsia" w:ascii="仿宋_GB2312" w:hAnsi="仿宋" w:eastAsia="仿宋_GB2312"/>
          <w:sz w:val="32"/>
          <w:szCs w:val="32"/>
        </w:rPr>
        <w:t>将保障食品安全作为创建工作的核心理念和首要前提，坚持正向引领，强化扶优汰劣，提振消费信心。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1.坚持市场主导，政府推动。</w:t>
      </w:r>
      <w:r>
        <w:rPr>
          <w:rFonts w:hint="eastAsia" w:ascii="仿宋_GB2312" w:hAnsi="仿宋" w:eastAsia="仿宋_GB2312"/>
          <w:sz w:val="32"/>
          <w:szCs w:val="32"/>
        </w:rPr>
        <w:t>发挥市场机制作用，增强企业品牌意识，激发市场主体活力。加快推进“放管服”改革，优化政策供给，为“食安滕州”品牌建设创造良好环境。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2.坚持严控严防，产管并重。</w:t>
      </w:r>
      <w:r>
        <w:rPr>
          <w:rFonts w:hint="eastAsia" w:ascii="仿宋_GB2312" w:hAnsi="仿宋" w:eastAsia="仿宋_GB2312"/>
          <w:sz w:val="32"/>
          <w:szCs w:val="32"/>
        </w:rPr>
        <w:t>实施源头严控、过程严管、风险严防，严格农业投入品监管，完善“从农田到餐桌”可追溯体系，健全风险防控机制，加大违法行为惩处力度，全面提升农产品、食品安全保障水平。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3.坚持质量为基，诚信为本。</w:t>
      </w:r>
      <w:r>
        <w:rPr>
          <w:rFonts w:hint="eastAsia" w:ascii="仿宋_GB2312" w:hAnsi="仿宋" w:eastAsia="仿宋_GB2312"/>
          <w:sz w:val="32"/>
          <w:szCs w:val="32"/>
        </w:rPr>
        <w:t>进一步加强标准体系建设，夯实产品质量基础。加快完善守信激励、失信联合惩戒机制，引导企业诚信守法经营。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4.坚持多元参与，社会共建。</w:t>
      </w:r>
      <w:r>
        <w:rPr>
          <w:rFonts w:hint="eastAsia" w:ascii="仿宋_GB2312" w:hAnsi="仿宋" w:eastAsia="仿宋_GB2312"/>
          <w:sz w:val="32"/>
          <w:szCs w:val="32"/>
        </w:rPr>
        <w:t>凝聚社会共识，统筹行业、企业和个人多个层面，充分发挥行业协会桥梁作用，促进全社会广泛参与。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z w:val="32"/>
          <w:szCs w:val="32"/>
        </w:rPr>
        <w:t>二、行动目标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坚持“点线面”立体化推进，在持续开展品牌引领行动基础上，完善创建标准，树立示范标杆，分行业、分领域、分层次进行推广，巩固食品安全城市创建成果，深入推进农产品质量安全县创建(以下简称“双安双创”)，实现增点、连线、扩面，打造品牌方阵。到2020年，完成以下创建目标:</w:t>
      </w:r>
    </w:p>
    <w:p>
      <w:pPr>
        <w:pStyle w:val="6"/>
        <w:widowControl w:val="0"/>
        <w:spacing w:before="0" w:beforeAutospacing="0" w:after="0" w:afterAutospacing="0"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（一）食用农产品领域。</w:t>
      </w:r>
      <w:r>
        <w:rPr>
          <w:rFonts w:hint="eastAsia" w:ascii="仿宋_GB2312" w:hAnsi="仿宋" w:eastAsia="仿宋_GB2312"/>
          <w:sz w:val="32"/>
          <w:szCs w:val="32"/>
        </w:rPr>
        <w:t>农产品标准化生产覆盖率达到85%以上。畜禽标准化规模养殖比重达到85%。每年创建“食安滕州”农产品种植示范基地10家、畜禽养殖示范基地10家、无公害果品示范基地10家、水产养殖示范基地5家，稳步推进无公害、绿色、有机和地理标志农产品认证。(责任单位：市农业局、市水利和渔业局、市林业局、市畜牧兽医局、市水产服务中心、市果树服务中心)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（二）食品生产领域。</w:t>
      </w:r>
      <w:r>
        <w:rPr>
          <w:rFonts w:hint="eastAsia" w:ascii="仿宋_GB2312" w:hAnsi="仿宋" w:eastAsia="仿宋_GB2312"/>
          <w:sz w:val="32"/>
          <w:szCs w:val="32"/>
        </w:rPr>
        <w:t>培育一批品牌形象突出的龙头骨干企业；25%以上的规模以上食品生产加工企业(年销售收入2000万元以上)创建为食品生产加工示范企业；发掘、保护和发展一批食品老字号与传统品牌，打造一批新兴品牌产品；提高企业食品质量安全管理水平，规模以上食品生产加工企业GB/T22000或HACCP认证比例提升10%，其中，乳制品、肉制品等重点产品生产加工企业认证比例达到95%以上。每年创建“食安滕州”食品生产示范企业50家。(责任单位：市食品药品监管局)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（三）食品流通领域。</w:t>
      </w:r>
      <w:r>
        <w:rPr>
          <w:rFonts w:hint="eastAsia" w:ascii="仿宋_GB2312" w:hAnsi="仿宋" w:eastAsia="仿宋_GB2312"/>
          <w:sz w:val="32"/>
          <w:szCs w:val="32"/>
        </w:rPr>
        <w:t>30%以上的大中型商场、超市、市场、供应商、食品及食用农产品批发市场(年主营业务收入500万元以上的商场、超市、市场、供应商，年交易额5000万元以上的批发市场)创建为“食安滕州”食品经营示范单位。北辛、龙泉、荆河街道每年各创建20户以上食品经营示范店，其余镇街每年各创建5户以上食品经营示范店。规划指导建设和升级改造一批农产品物流中心或批发市场、冷链加工配送中心、农贸市场、社区菜市场和重要商品储备设施。每年创建2家食品安全农贸市场。(责任单位：市食品药品监管局、市商务局、市市场监管局)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（四）餐饮消费领域。</w:t>
      </w:r>
      <w:r>
        <w:rPr>
          <w:rFonts w:hint="eastAsia" w:ascii="仿宋_GB2312" w:hAnsi="仿宋" w:eastAsia="仿宋_GB2312"/>
          <w:sz w:val="32"/>
          <w:szCs w:val="32"/>
        </w:rPr>
        <w:t>打造一批品牌优势明显、域外扩张较快的知名大型餐饮企业；打造一批管理规范、服务便民的大众餐饮连锁企业；创建特色鲜明的示范街区和一批示范店。挖掘、保护和发展一批餐饮老字号和风味名吃。全市学校食堂量化分级B级（良好）以上达到100%。每年创建1条食品安全示范街。北辛、龙泉、荆河街道每年各创建20家餐饮服务食品安全示范单位，其余镇街每年各创建5家餐饮服务食品安全示范单位。全市每年创建20家食品安全示范学校食堂，创建10家食品安全示范单位、企事业食堂。(责任单位：市食品药品监管局、市教育局、市商务局、市旅服局)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Style w:val="10"/>
          <w:rFonts w:hint="eastAsia" w:ascii="黑体" w:hAnsi="黑体" w:eastAsia="黑体"/>
          <w:b w:val="0"/>
          <w:sz w:val="32"/>
        </w:rPr>
      </w:pPr>
      <w:r>
        <w:rPr>
          <w:rStyle w:val="10"/>
          <w:rFonts w:hint="eastAsia" w:ascii="黑体" w:hAnsi="黑体" w:eastAsia="黑体"/>
          <w:b w:val="0"/>
          <w:sz w:val="32"/>
        </w:rPr>
        <w:t>三、主要措施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（一）打造品牌示范体系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1.大力发展现代农业。</w:t>
      </w:r>
      <w:r>
        <w:rPr>
          <w:rFonts w:hint="eastAsia" w:ascii="仿宋_GB2312" w:hAnsi="仿宋" w:eastAsia="仿宋_GB2312"/>
          <w:sz w:val="32"/>
          <w:szCs w:val="32"/>
        </w:rPr>
        <w:t>大力推广测土配方施肥、生物农药和绿色控害植保技术以及农业废弃物利用技术，防治农业面源污染。加强产地环境检测，建立健全监测结果通报制度和质量诚信体系。加快发展高端高质农业、高效特色农业，加快高标准农田建设，推动农业标准化、规模化、绿色化生产。积极推进现代农业、渔业、林业、畜牧业示范园区建设，深入开展农业标准化生产基地创建活动，打造畜禽养殖标准化示范场，引导和带动全市农业标准化生产。全面加强原粮质量监管和预测预报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2.强化重点行业品牌培育。</w:t>
      </w:r>
      <w:r>
        <w:rPr>
          <w:rFonts w:hint="eastAsia" w:ascii="仿宋_GB2312" w:hAnsi="仿宋" w:eastAsia="仿宋_GB2312"/>
          <w:sz w:val="32"/>
          <w:szCs w:val="32"/>
        </w:rPr>
        <w:t>推动食品生产经营企业建立食品安全管理标准体系，优化内部管理控制体系，提升标准、认证和质量管理水平。推动食品生产经营企业建立实施良好行为规范，强化食品安全危害分析和关键点控制，加大质量受权人制度实施力度。培育推出一批“食安滕州”食品生产经营示范单位，支持发展一批传统特色食品，进一步提升婴幼儿配方乳粉、肉制品、乳制品等重点食品及大宗食品行业产品品质，培育一批品牌形象突出、服务平台完备的食品生产加工园区和龙头骨干企业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3.促进多种业态创新。</w:t>
      </w:r>
      <w:r>
        <w:rPr>
          <w:rFonts w:hint="eastAsia" w:ascii="仿宋_GB2312" w:hAnsi="仿宋" w:eastAsia="仿宋_GB2312"/>
          <w:sz w:val="32"/>
          <w:szCs w:val="32"/>
        </w:rPr>
        <w:t>优化食品产业区域布局，推动产业集约化、规模化和标准化发展。鼓励支持食品生产经营企业升级改造，发展食品直营加盟连锁、统一配送等现代经营模式，促进食品流通和餐饮服务经营业态多元化、规范化和现代化。鼓励大众餐饮连锁、集体用餐配送和中央厨房发展，提升品牌带动作用和主食加工配送能力。实施餐饮业质量安全提升工程。开展“厨房亮化”、清洁厨房和“寻找笑脸就餐”活动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4.持续开展“双安双创”工作。</w:t>
      </w:r>
      <w:r>
        <w:rPr>
          <w:rFonts w:hint="eastAsia" w:ascii="仿宋_GB2312" w:hAnsi="仿宋" w:eastAsia="仿宋_GB2312"/>
          <w:sz w:val="32"/>
          <w:szCs w:val="32"/>
        </w:rPr>
        <w:t>持续巩固食品安全先进县创建成果，落实属地责任，坚持问题导向，全面提升食品安全治理能力。扎实推进省级农产品质量安全县创建活动，探索建立具有地域特色的质量监管和农资监管模式，提高全市农产品质量安全监管水平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（责任单位：市农业局、市水利和渔业局、市林业局、市畜牧兽医局、市粮食局、市食品药品监管局、市水产服务中心、市果树服务中心）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（二）提升品牌基础支撑能力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1.推进食品安全标准建设。</w:t>
      </w:r>
      <w:r>
        <w:rPr>
          <w:rFonts w:hint="eastAsia" w:ascii="仿宋_GB2312" w:hAnsi="仿宋" w:eastAsia="仿宋_GB2312"/>
          <w:sz w:val="32"/>
          <w:szCs w:val="32"/>
        </w:rPr>
        <w:t>推动食品安全标准制修订，鼓励企业制定严于食品安全国家标准、地方标准的企业标准，实施企业产品标准自我声明公开和监督制度，接受社会监督，提高企业改进质量的内生动力和外在约束。完善农业地方标准体系，加强标准制修订，细化制订一批农民看得懂、用得上、易操作、真管用的简明技术规程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2.加快追溯体系建设。</w:t>
      </w:r>
      <w:r>
        <w:rPr>
          <w:rFonts w:hint="eastAsia" w:ascii="仿宋_GB2312" w:hAnsi="仿宋" w:eastAsia="仿宋_GB2312"/>
          <w:sz w:val="32"/>
          <w:szCs w:val="32"/>
        </w:rPr>
        <w:t>加快推进主要农产品监管追溯平台建设，全市所有农业投入品经营门店、产业化龙头企业生产基地、农民专业合作社生产基地等均纳入监管追溯范围，实现全部农业投入品和主要农产品可追溯。以大型食品生产经营企业为主体，围绕婴幼儿配方食品、肉制品、乳制品、食用植物油、白酒、蔬菜、水产品等重点品种，加快推进食品安全追溯体系建设，推动追溯链条向食品原料供应环节延伸,实现全产业链可追溯管理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3.提升品牌科技内涵。</w:t>
      </w:r>
      <w:r>
        <w:rPr>
          <w:rFonts w:hint="eastAsia" w:ascii="仿宋_GB2312" w:hAnsi="仿宋" w:eastAsia="仿宋_GB2312"/>
          <w:sz w:val="32"/>
          <w:szCs w:val="32"/>
        </w:rPr>
        <w:t>鼓励食品企业自主创新，提升科技创新综合实力。加大科研投入，采取产学研用联合的方式，建设一批公共研发、设计和服务平台，鼓励开展与食品安全有关的基础研究和应用研究，加大对制约行业质量提升的关键技术攻关力度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4.加强人才培育。</w:t>
      </w:r>
      <w:r>
        <w:rPr>
          <w:rFonts w:hint="eastAsia" w:ascii="仿宋_GB2312" w:hAnsi="仿宋" w:eastAsia="仿宋_GB2312"/>
          <w:sz w:val="32"/>
          <w:szCs w:val="32"/>
        </w:rPr>
        <w:t>大力引进、培育和壮大一批行业领军人物,引领食品产业发展。组织参加“食安山东</w:t>
      </w:r>
      <w:r>
        <w:rPr>
          <w:rFonts w:hint="eastAsia"/>
          <w:sz w:val="32"/>
          <w:szCs w:val="32"/>
        </w:rPr>
        <w:t>•</w:t>
      </w:r>
      <w:r>
        <w:rPr>
          <w:rFonts w:hint="eastAsia" w:ascii="仿宋_GB2312" w:hAnsi="仿宋" w:eastAsia="仿宋_GB2312"/>
          <w:sz w:val="32"/>
          <w:szCs w:val="32"/>
        </w:rPr>
        <w:t>齐鲁名匠”评选活动,每年推出一批在安全质量、工艺技能、创意设计等方面有杰出贡献的先进人物，推动传统技能和文化的传承。开发品牌理论和实践培训课程，开展行业系统培训。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（责任单位：市卫计局、市农业局、市水利和渔业局、市林业局、市畜牧兽医局、市食品药品监管局、市水产服务中心、市果树服务中心分别）</w:t>
      </w:r>
      <w:r>
        <w:rPr>
          <w:rFonts w:hint="eastAsia" w:ascii="仿宋_GB2312" w:hAnsi="仿宋" w:eastAsia="仿宋_GB2312"/>
          <w:szCs w:val="32"/>
        </w:rPr>
        <w:t>　　</w:t>
      </w:r>
    </w:p>
    <w:p>
      <w:pPr>
        <w:spacing w:line="60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仿宋"/>
          <w:szCs w:val="32"/>
        </w:rPr>
        <w:t>　　</w:t>
      </w:r>
      <w:r>
        <w:rPr>
          <w:rFonts w:hint="eastAsia" w:ascii="楷体" w:hAnsi="楷体" w:eastAsia="楷体"/>
          <w:szCs w:val="32"/>
        </w:rPr>
        <w:t>（三）增强品牌运营能力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1.讲好品牌故事。</w:t>
      </w:r>
      <w:r>
        <w:rPr>
          <w:rFonts w:hint="eastAsia" w:ascii="仿宋_GB2312" w:hAnsi="仿宋"/>
          <w:szCs w:val="32"/>
        </w:rPr>
        <w:t>加大知名自主食品品牌宣传力度，提高自主品牌影响力和认知度。鼓励电视台、广播电台以及平面、网络等媒体，在重要时段、重要版面安排进行公益宣传。加快线上线下融合，注重应用新媒体，拓展品牌推广渠道。发挥行业协会、社会组织作用，联合举办品牌展示会、品鉴会等系列活动。搞好科普宣传，倡导健康消费，引导公众选择放心品牌。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2.提振消费信心。</w:t>
      </w:r>
      <w:r>
        <w:rPr>
          <w:rFonts w:hint="eastAsia" w:ascii="仿宋_GB2312" w:hAnsi="仿宋"/>
          <w:szCs w:val="32"/>
        </w:rPr>
        <w:t>构建食品安全信用体系,健全企业信用档案和信用信息系统，完善信用累积、评价、共享及“黑名单”制度,加大联合激励和联合惩戒力度。加大信息公开力度，全面、及时、准确发布产品质量信息，支持和引导新闻媒体开展舆论监督，为消费者提供真实、可信、权威的信息，提高公众认可度。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3.加强品牌评价与管理。</w:t>
      </w:r>
      <w:r>
        <w:rPr>
          <w:rFonts w:hint="eastAsia" w:ascii="仿宋_GB2312" w:hAnsi="仿宋"/>
          <w:szCs w:val="32"/>
        </w:rPr>
        <w:t>借助行业协会、科研院校等第三方机构开展食品品牌创建标准和评价体系研究，完善行业品牌评价标准，开展品牌价值评价与发布工作，评选推出“食安滕州”示范品牌和示范单位，推出知名品牌目录。加强对示范品牌的后续监管，实施动态管理和跟踪评价，对不能持续达标的单位及时进行淘汰。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（责任单位：市农业局、市食品药品监管局、市市场监管局、滕州日报社、市广播影视总台）</w:t>
      </w:r>
    </w:p>
    <w:p>
      <w:pPr>
        <w:spacing w:line="60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仿宋"/>
          <w:szCs w:val="32"/>
        </w:rPr>
        <w:t>　　</w:t>
      </w:r>
      <w:r>
        <w:rPr>
          <w:rFonts w:hint="eastAsia" w:ascii="楷体" w:hAnsi="楷体" w:eastAsia="楷体"/>
          <w:szCs w:val="32"/>
        </w:rPr>
        <w:t>（四）强化监管服务保障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1.强化源头严控。</w:t>
      </w:r>
      <w:r>
        <w:rPr>
          <w:rFonts w:hint="eastAsia" w:ascii="仿宋_GB2312" w:hAnsi="仿宋"/>
          <w:szCs w:val="32"/>
        </w:rPr>
        <w:t>开展化肥农药使用量零增长行动，实行严格的农业投入品使用管理制度，将农业投入品纳入信息化可追溯范围。强化产地检验检疫、食用农产品上市前检测，加强农产品收贮运环节监管，严把产地准出关。推进渔业规模化、组织化与标准化进程，保障初级水产品质量安全。加强对生猪定点屠宰企业和家禽屠宰企业的规范管理，严厉打击私屠滥宰、注水或注入其他物质、违法添加使用“瘦肉精”等行为，推进病死畜禽无害化处理。进一步加大食用林产品质量安全监测力度，组织开展食用林产品质量安全专项整治行动，严厉打击在食用林产品生产过程中违法使用国家禁限用农药等行为。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2.加强过程严管。</w:t>
      </w:r>
      <w:r>
        <w:rPr>
          <w:rFonts w:hint="eastAsia" w:ascii="仿宋_GB2312" w:hAnsi="仿宋"/>
          <w:szCs w:val="32"/>
        </w:rPr>
        <w:t>坚持产管并重，建立全程监管制度，形成全覆盖、无缝隙的食品安全监管网络。不断强化日常监督检查，全面加强食品抽检监测力度，加强产品信息发布和不合格产品核查处置。聚焦重点难点问题和薄弱环节，加大专项整治和综合治理力度,坚决查处各类违法违规行为。完善行政执法与刑事司法衔接机制和检打联动工作机制，形成打击食品违法犯罪的合力。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3.实施风险严防。</w:t>
      </w:r>
      <w:r>
        <w:rPr>
          <w:rFonts w:hint="eastAsia" w:ascii="仿宋_GB2312" w:hAnsi="仿宋"/>
          <w:szCs w:val="32"/>
        </w:rPr>
        <w:t>建立健全食品抽检监测“三统一”机制，扩大抽检监测覆盖面，提高问题发现率。健全完善风险管控机制,加强风险监测、会商、交流、评估，实施分级分类分层监管，完善“双随机</w:t>
      </w:r>
      <w:r>
        <w:rPr>
          <w:rFonts w:hint="eastAsia" w:ascii="仿宋_GB2312" w:hAnsi="仿宋"/>
          <w:szCs w:val="32"/>
          <w:lang w:eastAsia="zh-CN"/>
        </w:rPr>
        <w:t>、</w:t>
      </w:r>
      <w:bookmarkStart w:id="2" w:name="_GoBack"/>
      <w:bookmarkEnd w:id="2"/>
      <w:r>
        <w:rPr>
          <w:rFonts w:hint="eastAsia" w:ascii="仿宋_GB2312" w:hAnsi="仿宋"/>
          <w:szCs w:val="32"/>
        </w:rPr>
        <w:t>一公开”监管机制，防范系统性、区域性风险。着力建立覆盖全市的食源性疾病监测体系。强化应急机制建设，提高事故防范和应急处置能力，妥善处置食品安全社会舆情事件。</w:t>
      </w:r>
    </w:p>
    <w:p>
      <w:pPr>
        <w:pStyle w:val="6"/>
        <w:widowControl w:val="0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</w:t>
      </w:r>
      <w:r>
        <w:rPr>
          <w:rFonts w:hint="eastAsia" w:ascii="仿宋_GB2312" w:hAnsi="仿宋" w:eastAsia="仿宋_GB2312"/>
          <w:b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推进信息化建设。</w:t>
      </w:r>
      <w:r>
        <w:rPr>
          <w:rFonts w:hint="eastAsia" w:ascii="仿宋_GB2312" w:hAnsi="仿宋" w:eastAsia="仿宋_GB2312"/>
          <w:sz w:val="32"/>
          <w:szCs w:val="32"/>
        </w:rPr>
        <w:t>加强食品安全监管信息化建设，建立功能完善、标准统一、信息共享、互联互通的食品(食用农产品)安全信息平台。优先开展行政许可、监管执法、抽检监测、公共服务、食品追溯等方面的信息化建设。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（责任单位：市农业局、市水利和渔业局、市林业局、市畜牧兽医局、市食品药品监管局、市公安局、市信息化服务中心、市综合检验检测中心）</w:t>
      </w:r>
    </w:p>
    <w:p>
      <w:pPr>
        <w:spacing w:line="600" w:lineRule="exact"/>
        <w:ind w:firstLine="630"/>
        <w:rPr>
          <w:rStyle w:val="10"/>
          <w:rFonts w:hint="eastAsia" w:ascii="黑体" w:hAnsi="黑体" w:eastAsia="黑体"/>
          <w:b w:val="0"/>
          <w:szCs w:val="32"/>
        </w:rPr>
      </w:pPr>
      <w:r>
        <w:rPr>
          <w:rStyle w:val="10"/>
          <w:rFonts w:hint="eastAsia" w:ascii="黑体" w:hAnsi="黑体" w:eastAsia="黑体"/>
          <w:b w:val="0"/>
          <w:szCs w:val="32"/>
        </w:rPr>
        <w:t>四、组织实施</w:t>
      </w:r>
    </w:p>
    <w:p>
      <w:pPr>
        <w:spacing w:line="600" w:lineRule="exact"/>
        <w:ind w:firstLine="630"/>
        <w:rPr>
          <w:rFonts w:hint="eastAsia" w:ascii="仿宋_GB2312" w:hAnsi="仿宋"/>
          <w:szCs w:val="32"/>
        </w:rPr>
      </w:pPr>
      <w:r>
        <w:rPr>
          <w:rFonts w:hint="eastAsia" w:ascii="楷体" w:hAnsi="楷体" w:eastAsia="楷体"/>
          <w:szCs w:val="32"/>
        </w:rPr>
        <w:t>（一）加强组织领导。</w:t>
      </w:r>
      <w:r>
        <w:rPr>
          <w:rFonts w:hint="eastAsia" w:ascii="仿宋_GB2312" w:hAnsi="仿宋"/>
          <w:szCs w:val="32"/>
        </w:rPr>
        <w:t>各级各有关部门要将“食安滕州”品牌建设行动作为重大民生工程，制定具体实施方案和推进举措，及时研究解决重大问题,推动落实各项重点任务。市食安办要充分发挥组织引导作用，建立品牌建设行动工作推进机制，加强对实施工作的协调指导。要充分调动行业协会、科研机构、消费者组织、新闻媒体等各方力量,形成品牌建设的合力。</w:t>
      </w:r>
    </w:p>
    <w:p>
      <w:pPr>
        <w:spacing w:line="600" w:lineRule="exact"/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楷体" w:hAnsi="楷体" w:eastAsia="楷体"/>
          <w:szCs w:val="32"/>
        </w:rPr>
        <w:t>（二）强化政策支持。</w:t>
      </w:r>
      <w:r>
        <w:rPr>
          <w:rFonts w:hint="eastAsia" w:ascii="仿宋_GB2312" w:hAnsi="仿宋"/>
          <w:szCs w:val="32"/>
        </w:rPr>
        <w:t>完善扶持食用农产品和食品产业发展的政策措施，在有关食用农产品和食品产业规划、用地、投资、融资、财税、信贷等方面提供政策扶持。完善品牌建设配套制度，加大资金支持力度，尤其是加大追溯体系、品牌标准建设等方面的投入。发挥财政资金引导作用，带动更多社会资本投入，支持自主食品品牌发展。各镇街要结合实际出台具体支持政策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/>
        </w:rPr>
      </w:pPr>
      <w:r>
        <w:rPr>
          <w:rFonts w:hint="eastAsia" w:ascii="楷体" w:hAnsi="楷体" w:eastAsia="楷体"/>
          <w:sz w:val="32"/>
          <w:szCs w:val="32"/>
        </w:rPr>
        <w:t>（三）加强宣传推介。</w:t>
      </w:r>
      <w:r>
        <w:rPr>
          <w:rFonts w:hint="eastAsia" w:ascii="仿宋_GB2312" w:hAnsi="仿宋" w:eastAsia="仿宋_GB2312"/>
          <w:sz w:val="32"/>
          <w:szCs w:val="32"/>
        </w:rPr>
        <w:t>充分利用报刊、广播电视、互联网、手机等各类媒介，广泛宣传“食安滕州”品牌建设行动。科学谋划宣传策略，“打包”宣传推介滕州食品品牌，培育推广品牌文化，全力打造滕州食品品牌整体形象。加大对先进经验、诚信典型的宣传力度，发挥示范引领作用。搞好科普宣传，倡导健康消费，引导公众选择放心品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楷体" w:hAnsi="楷体" w:eastAsia="楷体" w:cs="宋体"/>
          <w:kern w:val="0"/>
          <w:szCs w:val="32"/>
        </w:rPr>
        <w:t>（四）严格督查评估。</w:t>
      </w:r>
      <w:r>
        <w:rPr>
          <w:rFonts w:hint="eastAsia" w:ascii="仿宋_GB2312" w:hAnsi="仿宋"/>
        </w:rPr>
        <w:t>建立健全考核评估、督导检查机制，将任务落实情况纳入年度目标责任考核，作为衡量食品安全工作开展情况的重要参考指标。加强跟踪调度、督促检查和效果评估，定期通报工作推进和完成情况，</w:t>
      </w:r>
      <w:r>
        <w:rPr>
          <w:rFonts w:hint="eastAsia" w:ascii="仿宋_GB2312" w:hAnsi="仿宋"/>
          <w:szCs w:val="32"/>
        </w:rPr>
        <w:t>确保“食安滕州”品牌建设取得实效。</w:t>
      </w:r>
      <w:r>
        <w:rPr>
          <w:rFonts w:hint="eastAsia" w:ascii="仿宋_GB2312"/>
        </w:rPr>
        <w:t xml:space="preserve"> </w:t>
      </w: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hint="eastAsia" w:ascii="仿宋_GB2312" w:hAnsi="微软雅黑" w:cs="宋体"/>
          <w:kern w:val="0"/>
          <w:szCs w:val="32"/>
        </w:rPr>
      </w:pPr>
      <w:r>
        <w:rPr>
          <w:rFonts w:hint="eastAsia" w:ascii="仿宋_GB2312" w:hAnsi="微软雅黑" w:cs="宋体"/>
          <w:kern w:val="0"/>
          <w:szCs w:val="32"/>
        </w:rPr>
        <w:t>（此页无正文）</w:t>
      </w: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600" w:lineRule="exact"/>
        <w:jc w:val="left"/>
        <w:rPr>
          <w:rFonts w:hint="eastAsia" w:ascii="仿宋_GB2312" w:hAnsi="微软雅黑" w:cs="宋体"/>
          <w:kern w:val="0"/>
          <w:szCs w:val="32"/>
        </w:rPr>
      </w:pPr>
    </w:p>
    <w:p>
      <w:pPr>
        <w:spacing w:line="400" w:lineRule="exact"/>
        <w:jc w:val="right"/>
        <w:rPr>
          <w:rFonts w:ascii="仿宋_GB2312" w:hAnsi="Arial"/>
          <w:color w:val="000000"/>
          <w:szCs w:val="32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579745" cy="25400"/>
                <wp:effectExtent l="0" t="9525" r="1905" b="22225"/>
                <wp:wrapNone/>
                <wp:docPr id="6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25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0pt;margin-top:13pt;height:2pt;width:439.35pt;z-index:251658240;mso-width-relative:page;mso-height-relative:page;" filled="f" stroked="t" coordsize="21600,21600" o:gfxdata="UEsFBgAAAAAAAAAAAAAAAAAAAAAAAFBLAwQKAAAAAACHTuJAAAAAAAAAAAAAAAAABAAAAGRycy9Q&#10;SwMEFAAAAAgAh07iQAZiLpzVAAAABgEAAA8AAABkcnMvZG93bnJldi54bWxNj8FOwzAMhu9IvENk&#10;JG4s2YAtK00nMYnLbpQJOHpN1lY0TtVk3fr2mBM7Wdb/6/PnfHPxnRjdENtABuYzBcJRFWxLtYH9&#10;x9uDBhETksUukDMwuQib4vYmx8yGM727sUy1YAjFDA00KfWZlLFqnMc4C70jzo5h8Jh4HWppBzwz&#10;3HdyodRSemyJLzTYu23jqp/y5Jny/KVfd6j309SV3+un7eduJG/M/d1cvYBI7pL+y/Cnz+pQsNMh&#10;nMhG0RngR5KBxZInp3qlVyAOBh6VAlnk8lq/+AVQSwMEFAAAAAgAh07iQED1rQrLAQAAawMAAA4A&#10;AABkcnMvZTJvRG9jLnhtbK1TzW7bMAy+D9g7CLovdoI6XY04PaToLt0WoO0DMJJsC5NFgVLi5Fn2&#10;Gjvtssfpa0xSftZtt2E+CKZIfuT3kVrc7gfDdoq8Rtvw6aTkTFmBUtuu4c9P9+/ec+YDWAkGrWr4&#10;QXl+u3z7ZjG6Ws2wRyMVsQhifT26hvchuLoovOjVAH6CTtnobJEGCNGkrpAEY0QfTDEry3kxIklH&#10;KJT38fbu6OTLjN+2SoTPbetVYKbhsbeQT8rnJp3FcgF1R+B6LU5twD90MYC2segF6g4CsC3pv6AG&#10;LQg9tmEicCiwbbVQmUNkMy3/YPPYg1OZSxTHu4tM/v/Bik+7NTEtGz7nzMIQR/Ty9dvL9x9sOp0n&#10;dUbn6xi0smtK/MTeProHFF88s7jqwXYqd/l0cDE10FalpOK3rGR4F8tsxo8oYxhsA2a19i0NCTXq&#10;wPZ5KIfLUNQ+MBEvq+r65vqq4kxE36y6KvPQCqjPyY58+KBwYOmn4UbbpBnUsHvwITUD9TkkXVu8&#10;18bkuRvLxri0N2VV5gyPRsvkTXGeus3KENtBWp38ZWrR8zqMcGvlsYqxKU/lrTuVPlM/6rhBeVjT&#10;WZ840dzcafvSyry2s4q/3sj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AZiLpzVAAAABgEAAA8A&#10;AAAAAAAAAQAgAAAAOAAAAGRycy9kb3ducmV2LnhtbFBLAQIUABQAAAAIAIdO4kBA9a0KywEAAGsD&#10;AAAOAAAAAAAAAAEAIAAAADo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仿宋_GB2312" w:cs="仿宋_GB2312"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 xml:space="preserve"> 抄送：</w:t>
      </w:r>
      <w:r>
        <w:rPr>
          <w:rFonts w:hint="eastAsia" w:ascii="仿宋_GB2312" w:cs="仿宋_GB2312"/>
          <w:color w:val="000000"/>
          <w:sz w:val="28"/>
          <w:szCs w:val="28"/>
        </w:rPr>
        <w:t xml:space="preserve">市委办公室，市人大常委会办公室，市政协办公室，市纪委 </w:t>
      </w:r>
    </w:p>
    <w:p>
      <w:pPr>
        <w:spacing w:line="40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 w:cs="仿宋_GB2312"/>
          <w:color w:val="000000"/>
          <w:sz w:val="28"/>
          <w:szCs w:val="28"/>
        </w:rPr>
        <w:t xml:space="preserve">       办公室，市法院，市检察院，市人武部。</w:t>
      </w:r>
    </w:p>
    <w:p>
      <w:pPr>
        <w:spacing w:line="200" w:lineRule="exact"/>
        <w:rPr>
          <w:rFonts w:ascii="仿宋_GB2312" w:cs="仿宋_GB2312"/>
          <w:color w:val="000000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38735</wp:posOffset>
                </wp:positionV>
                <wp:extent cx="5579745" cy="0"/>
                <wp:effectExtent l="0" t="0" r="0" b="0"/>
                <wp:wrapNone/>
                <wp:docPr id="5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margin-left:-2.35pt;margin-top:3.05pt;height:0pt;width:439.35pt;z-index:251659264;mso-width-relative:page;mso-height-relative:page;" filled="f" stroked="t" coordsize="21600,21600" o:gfxdata="UEsFBgAAAAAAAAAAAAAAAAAAAAAAAFBLAwQKAAAAAACHTuJAAAAAAAAAAAAAAAAABAAAAGRycy9Q&#10;SwMEFAAAAAgAh07iQEo90MDUAAAABgEAAA8AAABkcnMvZG93bnJldi54bWxNj81OwzAQhO9IvIO1&#10;SFyq1k6p2irE6QHIjQsFxHUbL0lEvE5j9weenoULHEczmvmm2Jx9r440xi6whWxmQBHXwXXcWHh5&#10;rqZrUDEhO+wDk4VPirApLy8KzF048RMdt6lRUsIxRwttSkOudaxb8hhnYSAW7z2MHpPIsdFuxJOU&#10;+17PjVlqjx3LQosD3bVUf2wP3kKsXmlffU3qiXm7aQLN9/ePD2jt9VVmbkElOqe/MPzgCzqUwrQL&#10;B3ZR9Rami5UkLSwzUGKvVwu5tvvVuiz0f/zyG1BLAwQUAAAACACHTuJAJR+OF8UBAABmAwAADgAA&#10;AGRycy9lMm9Eb2MueG1srVNBbtswELwX6B8I3mvZRlU3guUcHKSXtDWQ5AFrkpKIUlxiSVv2W/qN&#10;nnrpc/KNkrTlps0tqA+Eyd2dnZldLa8PvWF7RV6jrflsMuVMWYFS27bmjw+37z5y5gNYCQatqvlR&#10;eX69evtmObhKzbFDIxWxCGJ9NbiadyG4qii86FQPfoJO2RhskHoI8UptIQmGiN6bYj6dfigGJOkI&#10;hfI+vt6cgnyV8ZtGifC1abwKzNQ8cgv5pHxu01msllC1BK7T4kwDXsGiB21j0wvUDQRgO9IvoHot&#10;CD02YSKwL7BptFBZQ1Qzm/6j5r4Dp7KWaI53F5v8/4MVX/YbYlrWvOTMQh9H9PT9x9PPX2w2WyR3&#10;BuermLS2G0r6xMHeuzsU3zyzuO7AtiqzfDi6WBpop1JR8VdVungX22yHzyhjGuwCZrcODfUJNfrA&#10;Dnkox8tQ1CEwER/LcnG1eB/ZiTFWQDUWOvLhk8KepT81N9omv6CC/Z0PiQhUY0p6tnirjckzN5YN&#10;Nb8q52Uu8Gi0TMGU5qndrg2xPaStyb+sKkaepxHurDw1MTbVqbxw586j6pOFW5THDY3WxGFmbufF&#10;S9vy/J4N/PN5r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Sj3QwNQAAAAGAQAADwAAAAAAAAAB&#10;ACAAAAA4AAAAZHJzL2Rvd25yZXYueG1sUEsBAhQAFAAAAAgAh07iQCUfjhfFAQAAZgMAAA4AAAAA&#10;AAAAAQAgAAAAO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cs="仿宋_GB2312"/>
          <w:color w:val="000000"/>
          <w:sz w:val="28"/>
          <w:szCs w:val="28"/>
        </w:rPr>
        <w:t xml:space="preserve">    </w:t>
      </w:r>
    </w:p>
    <w:p>
      <w:pPr>
        <w:spacing w:line="400" w:lineRule="exact"/>
        <w:ind w:firstLine="160" w:firstLineChars="50"/>
        <w:rPr>
          <w:rFonts w:hint="eastAsia" w:ascii="仿宋" w:hAnsi="仿宋" w:eastAsia="仿宋"/>
          <w:szCs w:val="32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310515</wp:posOffset>
                </wp:positionV>
                <wp:extent cx="5579745" cy="7620"/>
                <wp:effectExtent l="0" t="0" r="0" b="0"/>
                <wp:wrapNone/>
                <wp:docPr id="4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-4.45pt;margin-top:24.45pt;height:0.6pt;width:439.35pt;z-index:251660288;mso-width-relative:page;mso-height-relative:page;" filled="f" stroked="t" coordsize="21600,21600" o:gfxdata="UEsFBgAAAAAAAAAAAAAAAAAAAAAAAFBLAwQKAAAAAACHTuJAAAAAAAAAAAAAAAAABAAAAGRycy9Q&#10;SwMEFAAAAAgAh07iQGT/utfWAAAACAEAAA8AAABkcnMvZG93bnJldi54bWxNj8FqwzAQRO+B/oPY&#10;Qm+J5JIE2bUcaKCX3OqGtkfFUm1TaWUsxYn/vptTc1qGGd7OlLurd2yyY+wDKshWApjFJpgeWwXH&#10;j7elBBaTRqNdQKtgthF21cOi1IUJF3y3U51aRhCMhVbQpTQUnMems17HVRgskvcTRq8TybHlZtQX&#10;gnvHn4XYcq97pA+dHuy+s81vffZE2XzJ14OWx3l29Xe+3n8eJvRKPT1m4gVYstf0H4ZbfaoOFXU6&#10;hTOayJyCpcwpqWB9u+TLbU5TTgo2IgNelfx+QPUHUEsDBBQAAAAIAIdO4kBaE3p1ywEAAGoDAAAO&#10;AAAAZHJzL2Uyb0RvYy54bWytU81u2zAMvg/YOwi6L3aCpmmNOD2k6C7dFqDdAzCSbAuTRYFSYudZ&#10;9ho77bLH6WtMUn7WbbdhPgimSH7k95Fa3o29YXtFXqOt+XRScqasQKltW/PPzw/vbjjzAawEg1bV&#10;/KA8v1u9fbMcXKVm2KGRilgEsb4aXM27EFxVFF50qgc/QadsdDZIPYRoUltIgiGi96aYleV1MSBJ&#10;RyiU9/H2/ujkq4zfNEqET03jVWCm5rG3kE/K5zadxWoJVUvgOi1ObcA/dNGDtrHoBeoeArAd6b+g&#10;ei0IPTZhIrAvsGm0UJlDZDMt/2Dz1IFTmUsUx7uLTP7/wYqP+w0xLWt+xZmFPo7o5eu3l+8/2HR6&#10;k9QZnK9i0NpuKPETo31yjyi+eGZx3YFtVe7y+eBiaqCdSknFb1nJ8C6W2Q4fUMYw2AXMao0N9Qk1&#10;6sDGPJTDZShqDEzEy/l8cbu4mnMmom9xPcszK6A65zry4b3CnqWfmhttk2RQwf7Rh9QLVOeQdG3x&#10;QRuTx24sG+LO3pbzMmd4NFomb4rz1G7Xhtge0ubkLzOLntdhhDsrj1WMTXkqL92p9Jn5UcYtysOG&#10;zvLEgebmTsuXNua1nUX89UR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k/7rX1gAAAAgBAAAP&#10;AAAAAAAAAAEAIAAAADgAAABkcnMvZG93bnJldi54bWxQSwECFAAUAAAACACHTuJAWhN6dcsBAABq&#10;AwAADgAAAAAAAAABACAAAAA7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cs="仿宋_GB2312"/>
          <w:color w:val="000000"/>
          <w:sz w:val="28"/>
          <w:szCs w:val="28"/>
        </w:rPr>
        <w:t>滕州市人民政府办公室                   2018年 6月13日印发</w:t>
      </w:r>
      <w:r>
        <w:rPr>
          <w:rFonts w:hint="eastAsia" w:ascii="仿宋" w:hAnsi="仿宋" w:eastAsia="仿宋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1417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11"/>
        <w:rFonts w:ascii="宋体" w:hAnsi="宋体"/>
        <w:sz w:val="24"/>
        <w:szCs w:val="24"/>
        <w:lang/>
      </w:rPr>
    </w:pPr>
    <w:r>
      <w:rPr>
        <w:rFonts w:ascii="宋体" w:hAnsi="宋体"/>
        <w:sz w:val="24"/>
        <w:szCs w:val="24"/>
        <w:lang/>
      </w:rPr>
      <w:fldChar w:fldCharType="begin"/>
    </w:r>
    <w:r>
      <w:rPr>
        <w:rStyle w:val="11"/>
        <w:rFonts w:ascii="宋体" w:hAnsi="宋体"/>
        <w:sz w:val="24"/>
        <w:szCs w:val="24"/>
        <w:lang/>
      </w:rPr>
      <w:instrText xml:space="preserve"> PAGE   \* MERGEFORMAT </w:instrText>
    </w:r>
    <w:r>
      <w:rPr>
        <w:rFonts w:ascii="宋体" w:hAnsi="宋体"/>
        <w:sz w:val="24"/>
        <w:szCs w:val="24"/>
        <w:lang/>
      </w:rPr>
      <w:fldChar w:fldCharType="separate"/>
    </w:r>
    <w:r>
      <w:rPr>
        <w:rStyle w:val="11"/>
        <w:rFonts w:ascii="宋体" w:hAnsi="宋体"/>
        <w:sz w:val="24"/>
        <w:szCs w:val="24"/>
        <w:lang/>
      </w:rPr>
      <w:t>- 11 -</w:t>
    </w:r>
    <w:r>
      <w:rPr>
        <w:rFonts w:ascii="宋体" w:hAnsi="宋体"/>
        <w:sz w:val="24"/>
        <w:szCs w:val="24"/>
        <w:lang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 PAGE   \* MERGEFORMAT 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- 12 -</w:t>
    </w:r>
    <w:r>
      <w:rPr>
        <w:rFonts w:ascii="宋体" w:hAnsi="宋体"/>
        <w:sz w:val="24"/>
        <w:szCs w:val="24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EA"/>
    <w:rsid w:val="000022AF"/>
    <w:rsid w:val="00003207"/>
    <w:rsid w:val="00021713"/>
    <w:rsid w:val="00021CCA"/>
    <w:rsid w:val="000225D4"/>
    <w:rsid w:val="00024D24"/>
    <w:rsid w:val="0003016E"/>
    <w:rsid w:val="00033FFE"/>
    <w:rsid w:val="0004122B"/>
    <w:rsid w:val="00042092"/>
    <w:rsid w:val="000431C3"/>
    <w:rsid w:val="00045D25"/>
    <w:rsid w:val="00047B30"/>
    <w:rsid w:val="000503FE"/>
    <w:rsid w:val="00050CC9"/>
    <w:rsid w:val="00054B09"/>
    <w:rsid w:val="0005719B"/>
    <w:rsid w:val="00062317"/>
    <w:rsid w:val="00064368"/>
    <w:rsid w:val="0006684B"/>
    <w:rsid w:val="00070629"/>
    <w:rsid w:val="00070F6C"/>
    <w:rsid w:val="000855CC"/>
    <w:rsid w:val="00090565"/>
    <w:rsid w:val="000A0CCC"/>
    <w:rsid w:val="000A191C"/>
    <w:rsid w:val="000A1D2A"/>
    <w:rsid w:val="000A5982"/>
    <w:rsid w:val="000B0C6F"/>
    <w:rsid w:val="000B0ECC"/>
    <w:rsid w:val="000B7E24"/>
    <w:rsid w:val="000C0E81"/>
    <w:rsid w:val="000C744F"/>
    <w:rsid w:val="000C7E65"/>
    <w:rsid w:val="000D5E58"/>
    <w:rsid w:val="000E4ABC"/>
    <w:rsid w:val="000E5003"/>
    <w:rsid w:val="000E58B3"/>
    <w:rsid w:val="00100471"/>
    <w:rsid w:val="00101B90"/>
    <w:rsid w:val="00105B4F"/>
    <w:rsid w:val="001148DA"/>
    <w:rsid w:val="00114FBD"/>
    <w:rsid w:val="001215D0"/>
    <w:rsid w:val="0012161E"/>
    <w:rsid w:val="001218FE"/>
    <w:rsid w:val="00126974"/>
    <w:rsid w:val="00140CB5"/>
    <w:rsid w:val="001414AA"/>
    <w:rsid w:val="00141FA0"/>
    <w:rsid w:val="00144D9B"/>
    <w:rsid w:val="00146935"/>
    <w:rsid w:val="001471AF"/>
    <w:rsid w:val="001514AC"/>
    <w:rsid w:val="001517F3"/>
    <w:rsid w:val="00151D5F"/>
    <w:rsid w:val="00155019"/>
    <w:rsid w:val="00164726"/>
    <w:rsid w:val="0016500B"/>
    <w:rsid w:val="00165F5C"/>
    <w:rsid w:val="00166E52"/>
    <w:rsid w:val="00170875"/>
    <w:rsid w:val="0017632B"/>
    <w:rsid w:val="00176D5B"/>
    <w:rsid w:val="0018794A"/>
    <w:rsid w:val="00191A07"/>
    <w:rsid w:val="00192BE1"/>
    <w:rsid w:val="001953D3"/>
    <w:rsid w:val="001A35AB"/>
    <w:rsid w:val="001B3408"/>
    <w:rsid w:val="001B78BC"/>
    <w:rsid w:val="001C250F"/>
    <w:rsid w:val="001C2D91"/>
    <w:rsid w:val="001D0B52"/>
    <w:rsid w:val="001E03B3"/>
    <w:rsid w:val="001E1A9D"/>
    <w:rsid w:val="001E3448"/>
    <w:rsid w:val="001F1F4A"/>
    <w:rsid w:val="001F35DF"/>
    <w:rsid w:val="001F5A18"/>
    <w:rsid w:val="0022081F"/>
    <w:rsid w:val="00235453"/>
    <w:rsid w:val="0024100D"/>
    <w:rsid w:val="00243021"/>
    <w:rsid w:val="00244C0D"/>
    <w:rsid w:val="0024507D"/>
    <w:rsid w:val="0025736A"/>
    <w:rsid w:val="00257D17"/>
    <w:rsid w:val="002631A9"/>
    <w:rsid w:val="002832BE"/>
    <w:rsid w:val="00286D79"/>
    <w:rsid w:val="0029142C"/>
    <w:rsid w:val="00294A8F"/>
    <w:rsid w:val="002A2816"/>
    <w:rsid w:val="002B51B1"/>
    <w:rsid w:val="002C0215"/>
    <w:rsid w:val="002C1C53"/>
    <w:rsid w:val="002D1C6B"/>
    <w:rsid w:val="002D5C3A"/>
    <w:rsid w:val="002E3614"/>
    <w:rsid w:val="002F1A0B"/>
    <w:rsid w:val="002F36D7"/>
    <w:rsid w:val="002F3F01"/>
    <w:rsid w:val="002F72C0"/>
    <w:rsid w:val="00303FDE"/>
    <w:rsid w:val="00304A63"/>
    <w:rsid w:val="00305C47"/>
    <w:rsid w:val="00307C0B"/>
    <w:rsid w:val="00311B63"/>
    <w:rsid w:val="00316714"/>
    <w:rsid w:val="003167A4"/>
    <w:rsid w:val="003206AA"/>
    <w:rsid w:val="00325720"/>
    <w:rsid w:val="0033295C"/>
    <w:rsid w:val="003332A5"/>
    <w:rsid w:val="0035085F"/>
    <w:rsid w:val="00350EBA"/>
    <w:rsid w:val="00351602"/>
    <w:rsid w:val="003559C9"/>
    <w:rsid w:val="00357A77"/>
    <w:rsid w:val="00360CE5"/>
    <w:rsid w:val="00381DA7"/>
    <w:rsid w:val="00382B1C"/>
    <w:rsid w:val="00384259"/>
    <w:rsid w:val="00387511"/>
    <w:rsid w:val="00393BCC"/>
    <w:rsid w:val="003A05B6"/>
    <w:rsid w:val="003A5F6C"/>
    <w:rsid w:val="003B1FDF"/>
    <w:rsid w:val="003B683A"/>
    <w:rsid w:val="003C17A9"/>
    <w:rsid w:val="003D0235"/>
    <w:rsid w:val="003D0760"/>
    <w:rsid w:val="003D33F5"/>
    <w:rsid w:val="003D4735"/>
    <w:rsid w:val="003D711F"/>
    <w:rsid w:val="003F2CAF"/>
    <w:rsid w:val="003F3DC3"/>
    <w:rsid w:val="0040445E"/>
    <w:rsid w:val="00406E49"/>
    <w:rsid w:val="00412BF9"/>
    <w:rsid w:val="00417B1B"/>
    <w:rsid w:val="00420149"/>
    <w:rsid w:val="00421677"/>
    <w:rsid w:val="004221C1"/>
    <w:rsid w:val="00434CBD"/>
    <w:rsid w:val="00434E28"/>
    <w:rsid w:val="0043689E"/>
    <w:rsid w:val="0044243F"/>
    <w:rsid w:val="00442A2C"/>
    <w:rsid w:val="00446B62"/>
    <w:rsid w:val="00463E09"/>
    <w:rsid w:val="004728F6"/>
    <w:rsid w:val="00472FC7"/>
    <w:rsid w:val="004738AB"/>
    <w:rsid w:val="00481E8A"/>
    <w:rsid w:val="00491B04"/>
    <w:rsid w:val="004A1B53"/>
    <w:rsid w:val="004A2DBA"/>
    <w:rsid w:val="004A3156"/>
    <w:rsid w:val="004A3953"/>
    <w:rsid w:val="004B080E"/>
    <w:rsid w:val="004B3EBE"/>
    <w:rsid w:val="004C268F"/>
    <w:rsid w:val="004C5462"/>
    <w:rsid w:val="004C7914"/>
    <w:rsid w:val="004D0D8A"/>
    <w:rsid w:val="004D2D74"/>
    <w:rsid w:val="004D3E0D"/>
    <w:rsid w:val="004E190D"/>
    <w:rsid w:val="004E448E"/>
    <w:rsid w:val="004E76D2"/>
    <w:rsid w:val="004F49BA"/>
    <w:rsid w:val="004F7214"/>
    <w:rsid w:val="00501065"/>
    <w:rsid w:val="0050272E"/>
    <w:rsid w:val="00502C47"/>
    <w:rsid w:val="0050465C"/>
    <w:rsid w:val="0050674C"/>
    <w:rsid w:val="00517091"/>
    <w:rsid w:val="005235B2"/>
    <w:rsid w:val="005342A8"/>
    <w:rsid w:val="0053515A"/>
    <w:rsid w:val="00541595"/>
    <w:rsid w:val="00554893"/>
    <w:rsid w:val="005572F9"/>
    <w:rsid w:val="005608E5"/>
    <w:rsid w:val="005617CD"/>
    <w:rsid w:val="005625EF"/>
    <w:rsid w:val="005671BA"/>
    <w:rsid w:val="005705D0"/>
    <w:rsid w:val="005711A6"/>
    <w:rsid w:val="005768A4"/>
    <w:rsid w:val="005778DF"/>
    <w:rsid w:val="00585397"/>
    <w:rsid w:val="00585A70"/>
    <w:rsid w:val="005A3E0A"/>
    <w:rsid w:val="005A618C"/>
    <w:rsid w:val="005B5F00"/>
    <w:rsid w:val="005D178F"/>
    <w:rsid w:val="005D2CBA"/>
    <w:rsid w:val="005D3738"/>
    <w:rsid w:val="005E2919"/>
    <w:rsid w:val="005E5E1A"/>
    <w:rsid w:val="00601C47"/>
    <w:rsid w:val="00602967"/>
    <w:rsid w:val="00602BBD"/>
    <w:rsid w:val="006040BD"/>
    <w:rsid w:val="006061D1"/>
    <w:rsid w:val="00611D55"/>
    <w:rsid w:val="00614F05"/>
    <w:rsid w:val="00615738"/>
    <w:rsid w:val="00620853"/>
    <w:rsid w:val="00621519"/>
    <w:rsid w:val="00621CF3"/>
    <w:rsid w:val="0062235D"/>
    <w:rsid w:val="00627F10"/>
    <w:rsid w:val="00641B25"/>
    <w:rsid w:val="00643918"/>
    <w:rsid w:val="00651DCB"/>
    <w:rsid w:val="00654383"/>
    <w:rsid w:val="006726D0"/>
    <w:rsid w:val="00672E0C"/>
    <w:rsid w:val="00673ADC"/>
    <w:rsid w:val="00676A5C"/>
    <w:rsid w:val="00683DCA"/>
    <w:rsid w:val="0069295F"/>
    <w:rsid w:val="00697224"/>
    <w:rsid w:val="006A03F2"/>
    <w:rsid w:val="006A265F"/>
    <w:rsid w:val="006A3915"/>
    <w:rsid w:val="006A6EB6"/>
    <w:rsid w:val="006B147F"/>
    <w:rsid w:val="006B1D91"/>
    <w:rsid w:val="006B5C58"/>
    <w:rsid w:val="006C2650"/>
    <w:rsid w:val="006C298B"/>
    <w:rsid w:val="006D1B00"/>
    <w:rsid w:val="006D51AC"/>
    <w:rsid w:val="006E42A9"/>
    <w:rsid w:val="006E6FF5"/>
    <w:rsid w:val="006F21D5"/>
    <w:rsid w:val="006F6230"/>
    <w:rsid w:val="006F7384"/>
    <w:rsid w:val="0070033E"/>
    <w:rsid w:val="00710328"/>
    <w:rsid w:val="0071460E"/>
    <w:rsid w:val="007203D8"/>
    <w:rsid w:val="0072460E"/>
    <w:rsid w:val="00761B26"/>
    <w:rsid w:val="007652E7"/>
    <w:rsid w:val="00770BEB"/>
    <w:rsid w:val="00776B64"/>
    <w:rsid w:val="00777735"/>
    <w:rsid w:val="007821DA"/>
    <w:rsid w:val="0078634C"/>
    <w:rsid w:val="007874D3"/>
    <w:rsid w:val="007876F9"/>
    <w:rsid w:val="00790B23"/>
    <w:rsid w:val="00794ADE"/>
    <w:rsid w:val="00794C91"/>
    <w:rsid w:val="007A0D19"/>
    <w:rsid w:val="007B0AD8"/>
    <w:rsid w:val="007B4D29"/>
    <w:rsid w:val="007B6761"/>
    <w:rsid w:val="007B6908"/>
    <w:rsid w:val="007C62E7"/>
    <w:rsid w:val="007D0401"/>
    <w:rsid w:val="007D3364"/>
    <w:rsid w:val="007D4CA0"/>
    <w:rsid w:val="007E359C"/>
    <w:rsid w:val="007F5B07"/>
    <w:rsid w:val="007F6EEF"/>
    <w:rsid w:val="0081384E"/>
    <w:rsid w:val="00822534"/>
    <w:rsid w:val="00827A6B"/>
    <w:rsid w:val="008447B3"/>
    <w:rsid w:val="00855AE9"/>
    <w:rsid w:val="008604DA"/>
    <w:rsid w:val="00877FB4"/>
    <w:rsid w:val="00880DF5"/>
    <w:rsid w:val="00881109"/>
    <w:rsid w:val="00881D7B"/>
    <w:rsid w:val="008829F5"/>
    <w:rsid w:val="0089098E"/>
    <w:rsid w:val="0089230B"/>
    <w:rsid w:val="00894A48"/>
    <w:rsid w:val="008B6EBE"/>
    <w:rsid w:val="008C0730"/>
    <w:rsid w:val="008C31EF"/>
    <w:rsid w:val="008C43C2"/>
    <w:rsid w:val="008E30B3"/>
    <w:rsid w:val="008E453A"/>
    <w:rsid w:val="008F2377"/>
    <w:rsid w:val="008F6973"/>
    <w:rsid w:val="008F6F58"/>
    <w:rsid w:val="0090041D"/>
    <w:rsid w:val="00901730"/>
    <w:rsid w:val="00902CD0"/>
    <w:rsid w:val="00907577"/>
    <w:rsid w:val="00912238"/>
    <w:rsid w:val="0091252E"/>
    <w:rsid w:val="0091591B"/>
    <w:rsid w:val="00921511"/>
    <w:rsid w:val="00926143"/>
    <w:rsid w:val="00927357"/>
    <w:rsid w:val="00927F92"/>
    <w:rsid w:val="00930F52"/>
    <w:rsid w:val="00943F37"/>
    <w:rsid w:val="0094443D"/>
    <w:rsid w:val="00953741"/>
    <w:rsid w:val="0096037E"/>
    <w:rsid w:val="00972E23"/>
    <w:rsid w:val="009775EA"/>
    <w:rsid w:val="00986BE1"/>
    <w:rsid w:val="009870F3"/>
    <w:rsid w:val="009958E4"/>
    <w:rsid w:val="009A0059"/>
    <w:rsid w:val="009A27E5"/>
    <w:rsid w:val="009A52D1"/>
    <w:rsid w:val="009A72CF"/>
    <w:rsid w:val="009B061C"/>
    <w:rsid w:val="009B5CCA"/>
    <w:rsid w:val="009B5D80"/>
    <w:rsid w:val="009C0B77"/>
    <w:rsid w:val="009D2343"/>
    <w:rsid w:val="009E22D9"/>
    <w:rsid w:val="009E4F9A"/>
    <w:rsid w:val="009E6C70"/>
    <w:rsid w:val="009F0A46"/>
    <w:rsid w:val="009F0D0F"/>
    <w:rsid w:val="009F3FBB"/>
    <w:rsid w:val="009F594C"/>
    <w:rsid w:val="00A00131"/>
    <w:rsid w:val="00A00324"/>
    <w:rsid w:val="00A02F42"/>
    <w:rsid w:val="00A03299"/>
    <w:rsid w:val="00A034E1"/>
    <w:rsid w:val="00A056B5"/>
    <w:rsid w:val="00A05D55"/>
    <w:rsid w:val="00A11622"/>
    <w:rsid w:val="00A12D76"/>
    <w:rsid w:val="00A1380E"/>
    <w:rsid w:val="00A17DCB"/>
    <w:rsid w:val="00A20D69"/>
    <w:rsid w:val="00A261B4"/>
    <w:rsid w:val="00A35D22"/>
    <w:rsid w:val="00A35EDE"/>
    <w:rsid w:val="00A376F8"/>
    <w:rsid w:val="00A43725"/>
    <w:rsid w:val="00A51EE0"/>
    <w:rsid w:val="00A5635B"/>
    <w:rsid w:val="00A6027D"/>
    <w:rsid w:val="00A63708"/>
    <w:rsid w:val="00A74938"/>
    <w:rsid w:val="00A808F8"/>
    <w:rsid w:val="00A82115"/>
    <w:rsid w:val="00A83F0F"/>
    <w:rsid w:val="00A83F3E"/>
    <w:rsid w:val="00A848EA"/>
    <w:rsid w:val="00A96B19"/>
    <w:rsid w:val="00AA7D74"/>
    <w:rsid w:val="00AB277E"/>
    <w:rsid w:val="00AB5A1B"/>
    <w:rsid w:val="00AB6273"/>
    <w:rsid w:val="00AC2F40"/>
    <w:rsid w:val="00AC61E0"/>
    <w:rsid w:val="00AD1D50"/>
    <w:rsid w:val="00AD3D8E"/>
    <w:rsid w:val="00AE3CFD"/>
    <w:rsid w:val="00AF4243"/>
    <w:rsid w:val="00B04814"/>
    <w:rsid w:val="00B0697A"/>
    <w:rsid w:val="00B20BD5"/>
    <w:rsid w:val="00B233C4"/>
    <w:rsid w:val="00B249EE"/>
    <w:rsid w:val="00B24A6F"/>
    <w:rsid w:val="00B260FE"/>
    <w:rsid w:val="00B3155C"/>
    <w:rsid w:val="00B3168F"/>
    <w:rsid w:val="00B3597F"/>
    <w:rsid w:val="00B44AFD"/>
    <w:rsid w:val="00B47B4A"/>
    <w:rsid w:val="00B76EAE"/>
    <w:rsid w:val="00B7715F"/>
    <w:rsid w:val="00B77573"/>
    <w:rsid w:val="00B87936"/>
    <w:rsid w:val="00B9041C"/>
    <w:rsid w:val="00B959DF"/>
    <w:rsid w:val="00B97BEA"/>
    <w:rsid w:val="00BB1114"/>
    <w:rsid w:val="00BB2234"/>
    <w:rsid w:val="00BB3E85"/>
    <w:rsid w:val="00BB5DDA"/>
    <w:rsid w:val="00BB7780"/>
    <w:rsid w:val="00BC1DC3"/>
    <w:rsid w:val="00BD0B95"/>
    <w:rsid w:val="00BD16E2"/>
    <w:rsid w:val="00BE6914"/>
    <w:rsid w:val="00BF7FCE"/>
    <w:rsid w:val="00C00837"/>
    <w:rsid w:val="00C062F5"/>
    <w:rsid w:val="00C128EF"/>
    <w:rsid w:val="00C14C82"/>
    <w:rsid w:val="00C2392D"/>
    <w:rsid w:val="00C32AA1"/>
    <w:rsid w:val="00C37A22"/>
    <w:rsid w:val="00C40A2F"/>
    <w:rsid w:val="00C41F95"/>
    <w:rsid w:val="00C441B3"/>
    <w:rsid w:val="00C46EB6"/>
    <w:rsid w:val="00C50C49"/>
    <w:rsid w:val="00C51826"/>
    <w:rsid w:val="00C547DB"/>
    <w:rsid w:val="00C61C6C"/>
    <w:rsid w:val="00C6226D"/>
    <w:rsid w:val="00C70727"/>
    <w:rsid w:val="00C75C8B"/>
    <w:rsid w:val="00C8299F"/>
    <w:rsid w:val="00C8621C"/>
    <w:rsid w:val="00C86221"/>
    <w:rsid w:val="00C906DD"/>
    <w:rsid w:val="00C93973"/>
    <w:rsid w:val="00CA04EC"/>
    <w:rsid w:val="00CA785F"/>
    <w:rsid w:val="00CB1EA2"/>
    <w:rsid w:val="00CB1F72"/>
    <w:rsid w:val="00CB598E"/>
    <w:rsid w:val="00CD409E"/>
    <w:rsid w:val="00CD4615"/>
    <w:rsid w:val="00CE0D91"/>
    <w:rsid w:val="00CE2077"/>
    <w:rsid w:val="00D0044E"/>
    <w:rsid w:val="00D029E2"/>
    <w:rsid w:val="00D05AA8"/>
    <w:rsid w:val="00D072FE"/>
    <w:rsid w:val="00D317B0"/>
    <w:rsid w:val="00D31EBE"/>
    <w:rsid w:val="00D43772"/>
    <w:rsid w:val="00D46716"/>
    <w:rsid w:val="00D5499B"/>
    <w:rsid w:val="00D5725A"/>
    <w:rsid w:val="00D57CFE"/>
    <w:rsid w:val="00D62D7D"/>
    <w:rsid w:val="00D7135D"/>
    <w:rsid w:val="00D7194A"/>
    <w:rsid w:val="00D73670"/>
    <w:rsid w:val="00D73DC6"/>
    <w:rsid w:val="00D75C34"/>
    <w:rsid w:val="00D80FF0"/>
    <w:rsid w:val="00D83E28"/>
    <w:rsid w:val="00D859F7"/>
    <w:rsid w:val="00D85D42"/>
    <w:rsid w:val="00D95261"/>
    <w:rsid w:val="00D969AA"/>
    <w:rsid w:val="00D971FD"/>
    <w:rsid w:val="00DB158F"/>
    <w:rsid w:val="00DB2D24"/>
    <w:rsid w:val="00DC5D0B"/>
    <w:rsid w:val="00DC7E92"/>
    <w:rsid w:val="00DD2661"/>
    <w:rsid w:val="00DD2D1B"/>
    <w:rsid w:val="00DE277E"/>
    <w:rsid w:val="00DE5313"/>
    <w:rsid w:val="00DF14E0"/>
    <w:rsid w:val="00E006DF"/>
    <w:rsid w:val="00E05712"/>
    <w:rsid w:val="00E14A3A"/>
    <w:rsid w:val="00E1543C"/>
    <w:rsid w:val="00E15A50"/>
    <w:rsid w:val="00E2289C"/>
    <w:rsid w:val="00E24971"/>
    <w:rsid w:val="00E33BDA"/>
    <w:rsid w:val="00E34C04"/>
    <w:rsid w:val="00E425F3"/>
    <w:rsid w:val="00E462CA"/>
    <w:rsid w:val="00E52338"/>
    <w:rsid w:val="00E602E4"/>
    <w:rsid w:val="00E61E8E"/>
    <w:rsid w:val="00E63462"/>
    <w:rsid w:val="00E66FD1"/>
    <w:rsid w:val="00E77657"/>
    <w:rsid w:val="00E80637"/>
    <w:rsid w:val="00E80E0E"/>
    <w:rsid w:val="00E81206"/>
    <w:rsid w:val="00E83493"/>
    <w:rsid w:val="00E838B0"/>
    <w:rsid w:val="00E87232"/>
    <w:rsid w:val="00E95CC0"/>
    <w:rsid w:val="00EA1BB1"/>
    <w:rsid w:val="00EA4E9A"/>
    <w:rsid w:val="00EA53A8"/>
    <w:rsid w:val="00EA6826"/>
    <w:rsid w:val="00EB03B9"/>
    <w:rsid w:val="00EB12B2"/>
    <w:rsid w:val="00EB22D9"/>
    <w:rsid w:val="00EB45FB"/>
    <w:rsid w:val="00EB57C7"/>
    <w:rsid w:val="00EC08CC"/>
    <w:rsid w:val="00EC3529"/>
    <w:rsid w:val="00EC36EF"/>
    <w:rsid w:val="00EC3DC1"/>
    <w:rsid w:val="00EC740E"/>
    <w:rsid w:val="00ED13DE"/>
    <w:rsid w:val="00ED6400"/>
    <w:rsid w:val="00ED7604"/>
    <w:rsid w:val="00EE19A4"/>
    <w:rsid w:val="00EE43FF"/>
    <w:rsid w:val="00EF0A85"/>
    <w:rsid w:val="00F0426E"/>
    <w:rsid w:val="00F064FD"/>
    <w:rsid w:val="00F14ADE"/>
    <w:rsid w:val="00F27E05"/>
    <w:rsid w:val="00F41E1B"/>
    <w:rsid w:val="00F43F4C"/>
    <w:rsid w:val="00F514D6"/>
    <w:rsid w:val="00F54F9D"/>
    <w:rsid w:val="00F5622B"/>
    <w:rsid w:val="00F60C35"/>
    <w:rsid w:val="00F60E78"/>
    <w:rsid w:val="00F6544F"/>
    <w:rsid w:val="00F66968"/>
    <w:rsid w:val="00F67012"/>
    <w:rsid w:val="00F77D36"/>
    <w:rsid w:val="00F80AC3"/>
    <w:rsid w:val="00F823AB"/>
    <w:rsid w:val="00F900FF"/>
    <w:rsid w:val="00F941B2"/>
    <w:rsid w:val="00FB6FD9"/>
    <w:rsid w:val="00FD7BE5"/>
    <w:rsid w:val="00FE0D8C"/>
    <w:rsid w:val="00FE1059"/>
    <w:rsid w:val="00FF0F1B"/>
    <w:rsid w:val="00FF190E"/>
    <w:rsid w:val="00FF4BDA"/>
    <w:rsid w:val="00FF6215"/>
    <w:rsid w:val="0BE41C07"/>
    <w:rsid w:val="42940730"/>
    <w:rsid w:val="AB7FA565"/>
    <w:rsid w:val="FFF5D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脚 Char"/>
    <w:link w:val="4"/>
    <w:uiPriority w:val="0"/>
    <w:rPr>
      <w:sz w:val="18"/>
      <w:szCs w:val="18"/>
    </w:rPr>
  </w:style>
  <w:style w:type="character" w:customStyle="1" w:styleId="14">
    <w:name w:val="页眉 Char"/>
    <w:link w:val="5"/>
    <w:uiPriority w:val="99"/>
    <w:rPr>
      <w:sz w:val="18"/>
      <w:szCs w:val="18"/>
    </w:rPr>
  </w:style>
  <w:style w:type="character" w:customStyle="1" w:styleId="15">
    <w:name w:val="文档结构图 Char"/>
    <w:link w:val="2"/>
    <w:semiHidden/>
    <w:uiPriority w:val="99"/>
    <w:rPr>
      <w:rFonts w:ascii="宋体" w:hAnsi="Times New Roman"/>
      <w:kern w:val="2"/>
      <w:sz w:val="18"/>
      <w:szCs w:val="18"/>
    </w:rPr>
  </w:style>
  <w:style w:type="character" w:customStyle="1" w:styleId="16">
    <w:name w:val="批注框文本 Char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7">
    <w:name w:val="_Style 3"/>
    <w:basedOn w:val="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paragraph" w:customStyle="1" w:styleId="1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0">
    <w:name w:val="Char"/>
    <w:basedOn w:val="1"/>
    <w:uiPriority w:val="0"/>
    <w:pPr>
      <w:widowControl/>
      <w:spacing w:beforeLines="100"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1">
    <w:name w:val=" Char"/>
    <w:basedOn w:val="1"/>
    <w:uiPriority w:val="0"/>
    <w:pPr>
      <w:widowControl/>
      <w:spacing w:before="100" w:beforeLines="100"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2">
    <w:name w:val="默认段落字体 Para Char Char Char Char Char Char Char Char Char Char Char Char Char Char Char1 Char Char Char Char"/>
    <w:basedOn w:val="1"/>
    <w:next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819</Words>
  <Characters>4669</Characters>
  <Lines>38</Lines>
  <Paragraphs>10</Paragraphs>
  <TotalTime>0</TotalTime>
  <ScaleCrop>false</ScaleCrop>
  <LinksUpToDate>false</LinksUpToDate>
  <CharactersWithSpaces>5478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2017-10-28T12:43:00Z</dcterms:created>
  <dc:creator>Sky123.Org</dc:creator>
  <cp:lastModifiedBy>user</cp:lastModifiedBy>
  <cp:lastPrinted>2018-06-13T09:20:00Z</cp:lastPrinted>
  <dcterms:modified xsi:type="dcterms:W3CDTF">2024-04-25T16:58:59Z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